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B30" w:rsidRPr="005E332A" w:rsidRDefault="00CA0B30" w:rsidP="00CA0B30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cs="Times New Roman"/>
          <w:b/>
          <w:i/>
          <w:szCs w:val="24"/>
          <w:lang w:val="bg-BG"/>
        </w:rPr>
      </w:pPr>
      <w:r w:rsidRPr="005E332A">
        <w:rPr>
          <w:rFonts w:cs="Times New Roman"/>
          <w:b/>
          <w:i/>
          <w:szCs w:val="24"/>
          <w:lang w:val="bg-BG"/>
        </w:rPr>
        <w:t>Приложение № 2</w:t>
      </w:r>
    </w:p>
    <w:p w:rsidR="00751B75" w:rsidRPr="00AF50AC" w:rsidRDefault="00751B75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:rsidR="00751B75" w:rsidRPr="00AF50AC" w:rsidRDefault="00A42D64" w:rsidP="000969A7">
      <w:pPr>
        <w:tabs>
          <w:tab w:val="left" w:pos="142"/>
          <w:tab w:val="left" w:pos="567"/>
        </w:tabs>
        <w:spacing w:after="0" w:line="276" w:lineRule="auto"/>
        <w:ind w:left="851"/>
        <w:jc w:val="center"/>
        <w:rPr>
          <w:rFonts w:cs="Times New Roman"/>
          <w:b/>
          <w:szCs w:val="24"/>
          <w:lang w:val="bg-BG"/>
        </w:rPr>
      </w:pPr>
      <w:r w:rsidRPr="00AF50AC">
        <w:rPr>
          <w:rFonts w:cs="Times New Roman"/>
          <w:b/>
          <w:szCs w:val="24"/>
          <w:lang w:val="bg-BG"/>
        </w:rPr>
        <w:t>МЕТОДИКА ЗА ОЦЕНКА НА ОФЕРТИТЕ</w:t>
      </w:r>
    </w:p>
    <w:p w:rsidR="0038038B" w:rsidRPr="00227A45" w:rsidRDefault="00AF50AC" w:rsidP="00227A45">
      <w:pPr>
        <w:spacing w:before="120" w:after="120" w:line="276" w:lineRule="auto"/>
        <w:jc w:val="center"/>
        <w:rPr>
          <w:b/>
          <w:szCs w:val="24"/>
          <w:lang w:val="bg-BG"/>
        </w:rPr>
      </w:pPr>
      <w:r w:rsidRPr="00AF50AC">
        <w:rPr>
          <w:b/>
          <w:szCs w:val="24"/>
          <w:lang w:val="bg-BG"/>
        </w:rPr>
        <w:t>за възлагане на обществена поръчка с предмет: „</w:t>
      </w:r>
      <w:r w:rsidR="00530C3D" w:rsidRPr="00530C3D">
        <w:rPr>
          <w:b/>
          <w:szCs w:val="24"/>
          <w:lang w:val="bg-BG"/>
        </w:rPr>
        <w:t>Разработване на прототип на система за електронни форми за заявяване на ЕАУ и интеграцията му с хоризонталните системи на електронното управление</w:t>
      </w:r>
      <w:r w:rsidRPr="00AF50AC">
        <w:rPr>
          <w:b/>
          <w:szCs w:val="24"/>
          <w:lang w:val="bg-BG"/>
        </w:rPr>
        <w:t>“</w:t>
      </w:r>
      <w:bookmarkStart w:id="0" w:name="_GoBack"/>
      <w:bookmarkEnd w:id="0"/>
    </w:p>
    <w:p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 w:firstLine="646"/>
        <w:jc w:val="both"/>
        <w:rPr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Оценяването и класирането на офертите на участниците се възлага въз основата на икономически най – изгодна оферта, въз основа на критерия посочен в чл.70, ал. 2, т. 3 ЗОП – преценка за оптимално съотношение качество/цена, което се оценява въз основа на цената, както и на показатели, включващи качествени аспекти, свързани с предмета на обществената поръчка.</w:t>
      </w:r>
    </w:p>
    <w:p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 w:firstLine="646"/>
        <w:jc w:val="both"/>
        <w:rPr>
          <w:szCs w:val="24"/>
          <w:lang w:val="bg-BG"/>
        </w:rPr>
      </w:pPr>
      <w:r w:rsidRPr="00AF50AC">
        <w:rPr>
          <w:szCs w:val="24"/>
          <w:lang w:val="bg-BG"/>
        </w:rPr>
        <w:t xml:space="preserve">Класирането на допуснатите до оценка оферти се извършва на база, комплексна оценка съгласно съдържанието на получените ценово и техническо </w:t>
      </w:r>
      <w:r w:rsidR="00E178E6" w:rsidRPr="0076790E">
        <w:rPr>
          <w:szCs w:val="24"/>
          <w:lang w:val="bg-BG"/>
        </w:rPr>
        <w:t>предложение</w:t>
      </w:r>
      <w:r w:rsidR="00E178E6">
        <w:rPr>
          <w:szCs w:val="24"/>
          <w:lang w:val="bg-BG"/>
        </w:rPr>
        <w:t xml:space="preserve"> </w:t>
      </w:r>
      <w:r w:rsidRPr="00AF50AC">
        <w:rPr>
          <w:szCs w:val="24"/>
          <w:lang w:val="bg-BG"/>
        </w:rPr>
        <w:t xml:space="preserve">на участниците. Максималния брой точки, които участникът може да получи е 100 точки.  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Настоящата методика съдържа точни указания за определяне на комплексната оценка на всяка оферта, показателите, броят точки за всеки от тях при изчисляване на комплексната оценка, както и точни указания за определяне на оценката по всеки показател.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Комисията прилага методиката по отношение на офертите на участниците, които не са отстранени от участие в процедурата и които отговарят на обявените от Възложителя изисквания и критерии за подбор. В случай, че участник представи Техническо предложение, което не отговаря на някое от следните условия</w:t>
      </w:r>
    </w:p>
    <w:p w:rsidR="00AF50AC" w:rsidRPr="00AF50AC" w:rsidRDefault="00AF50AC" w:rsidP="00AF50AC">
      <w:pPr>
        <w:numPr>
          <w:ilvl w:val="0"/>
          <w:numId w:val="2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изискванията на Възложителя, посочени в Техническата спецификация; </w:t>
      </w:r>
    </w:p>
    <w:p w:rsidR="00AF50AC" w:rsidRPr="00AF50AC" w:rsidRDefault="00AF50AC" w:rsidP="00AF50AC">
      <w:pPr>
        <w:numPr>
          <w:ilvl w:val="0"/>
          <w:numId w:val="2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на действащото законодателство; </w:t>
      </w:r>
    </w:p>
    <w:p w:rsidR="00AF50AC" w:rsidRPr="00AF50AC" w:rsidRDefault="00AF50AC" w:rsidP="00AF50AC">
      <w:pPr>
        <w:numPr>
          <w:ilvl w:val="0"/>
          <w:numId w:val="2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на съществуващите нормативна база, стандарти или технически изисквания,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той се отстранява от участие и офертата му не се допуска до оценка и класиране.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Крайното класиране на допуснатите оферти се извършва в низходящ ред, на база получена </w:t>
      </w:r>
      <w:r w:rsidRPr="00AF50AC">
        <w:rPr>
          <w:rFonts w:eastAsia="MS ??"/>
          <w:b/>
          <w:bCs/>
          <w:szCs w:val="24"/>
          <w:lang w:val="bg-BG"/>
        </w:rPr>
        <w:t>комплексна оценка за всяка оферта</w:t>
      </w:r>
      <w:r w:rsidRPr="00AF50AC">
        <w:rPr>
          <w:rFonts w:eastAsia="MS ??"/>
          <w:bCs/>
          <w:szCs w:val="24"/>
          <w:lang w:val="bg-BG"/>
        </w:rPr>
        <w:t>. Офертата, получила най-голям брой точки, се класира на първо място.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Когато комплексните оценки на две или повече оферти са равни, с предимство се класира офертата, в която се съдържат по-изгодни предложения, преценени в следния ред:</w:t>
      </w:r>
    </w:p>
    <w:p w:rsidR="00AF50AC" w:rsidRPr="00AF50AC" w:rsidRDefault="00AF50AC" w:rsidP="00AF50AC">
      <w:pPr>
        <w:numPr>
          <w:ilvl w:val="0"/>
          <w:numId w:val="23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по-ниска предложена цена;</w:t>
      </w:r>
    </w:p>
    <w:p w:rsidR="00AF50AC" w:rsidRPr="00AF50AC" w:rsidRDefault="00AF50AC" w:rsidP="00AF50AC">
      <w:pPr>
        <w:numPr>
          <w:ilvl w:val="0"/>
          <w:numId w:val="23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lastRenderedPageBreak/>
        <w:t>по-изгодно предложение по останалите показатели, сравнени в низходящ ред съобразно тяхната тежест (определена въз основа на максималния брой точки, който може да бъде получен за съответния показател).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Комисията провежда публично жребий за определяне на изпълнител между класираните на първо място оферти, ако участниците не могат да бъдат класирани в съответствие с горните изисквания.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</w:p>
    <w:tbl>
      <w:tblPr>
        <w:tblW w:w="9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258"/>
        <w:gridCol w:w="2340"/>
      </w:tblGrid>
      <w:tr w:rsidR="00AF50AC" w:rsidRPr="00AF50AC" w:rsidTr="00C57C52">
        <w:trPr>
          <w:trHeight w:val="847"/>
        </w:trPr>
        <w:tc>
          <w:tcPr>
            <w:tcW w:w="5070" w:type="dxa"/>
            <w:shd w:val="clear" w:color="auto" w:fill="F2F2F2" w:themeFill="background1" w:themeFillShade="F2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 xml:space="preserve">Показател </w:t>
            </w:r>
          </w:p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>(наименование)</w:t>
            </w:r>
          </w:p>
        </w:tc>
        <w:tc>
          <w:tcPr>
            <w:tcW w:w="2258" w:type="dxa"/>
            <w:shd w:val="clear" w:color="auto" w:fill="F2F2F2" w:themeFill="background1" w:themeFillShade="F2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>Максимален брой точки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>Тежест</w:t>
            </w:r>
          </w:p>
        </w:tc>
      </w:tr>
      <w:tr w:rsidR="00AF50AC" w:rsidRPr="00AF50AC" w:rsidTr="00C57C52">
        <w:trPr>
          <w:trHeight w:val="415"/>
        </w:trPr>
        <w:tc>
          <w:tcPr>
            <w:tcW w:w="5070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1. Оценка на Ценовото предложение за изпълнение на поръчката - ЦО</w:t>
            </w:r>
          </w:p>
        </w:tc>
        <w:tc>
          <w:tcPr>
            <w:tcW w:w="2258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100</w:t>
            </w:r>
          </w:p>
        </w:tc>
        <w:tc>
          <w:tcPr>
            <w:tcW w:w="2340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40 %</w:t>
            </w:r>
          </w:p>
        </w:tc>
      </w:tr>
      <w:tr w:rsidR="00AF50AC" w:rsidRPr="00AF50AC" w:rsidTr="00C57C52">
        <w:trPr>
          <w:trHeight w:val="431"/>
        </w:trPr>
        <w:tc>
          <w:tcPr>
            <w:tcW w:w="5070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2. Оценка на Техническо предложение за изпълнение на поръчката – ТО</w:t>
            </w:r>
          </w:p>
        </w:tc>
        <w:tc>
          <w:tcPr>
            <w:tcW w:w="2258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100</w:t>
            </w:r>
          </w:p>
        </w:tc>
        <w:tc>
          <w:tcPr>
            <w:tcW w:w="2340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60 %</w:t>
            </w:r>
          </w:p>
        </w:tc>
      </w:tr>
    </w:tbl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</w:p>
    <w:p w:rsidR="00AF50AC" w:rsidRPr="00AF50AC" w:rsidRDefault="00AF50AC" w:rsidP="00AF50AC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b/>
          <w:szCs w:val="24"/>
          <w:lang w:val="bg-BG"/>
        </w:rPr>
      </w:pPr>
      <w:r w:rsidRPr="00AF50AC">
        <w:rPr>
          <w:b/>
          <w:szCs w:val="24"/>
          <w:lang w:val="bg-BG"/>
        </w:rPr>
        <w:t>Комплексната оценка (KO)</w:t>
      </w:r>
      <w:r w:rsidRPr="00AF50AC">
        <w:rPr>
          <w:szCs w:val="24"/>
          <w:lang w:val="bg-BG"/>
        </w:rPr>
        <w:t xml:space="preserve"> на офертата на всеки участник  се изчислява по формулата:</w:t>
      </w:r>
    </w:p>
    <w:p w:rsidR="00AF50AC" w:rsidRPr="00AF50AC" w:rsidRDefault="00AF50AC" w:rsidP="00AF50AC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b/>
          <w:szCs w:val="24"/>
          <w:lang w:val="bg-BG"/>
        </w:rPr>
      </w:pPr>
    </w:p>
    <w:p w:rsidR="00AF50AC" w:rsidRPr="00AF50AC" w:rsidRDefault="00AF50AC" w:rsidP="00AF50AC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Cs w:val="24"/>
          <w:lang w:val="bg-BG"/>
        </w:rPr>
      </w:pPr>
      <w:r w:rsidRPr="00AF50AC">
        <w:rPr>
          <w:b/>
          <w:szCs w:val="24"/>
          <w:lang w:val="bg-BG"/>
        </w:rPr>
        <w:t>КО= ЦО*0,4+ ТО*0,6</w:t>
      </w:r>
    </w:p>
    <w:p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</w:p>
    <w:p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  <w:r w:rsidRPr="00AF50AC">
        <w:rPr>
          <w:szCs w:val="24"/>
          <w:lang w:val="bg-BG"/>
        </w:rPr>
        <w:t xml:space="preserve">където: </w:t>
      </w:r>
    </w:p>
    <w:p w:rsidR="00AF50AC" w:rsidRPr="00AF50AC" w:rsidRDefault="00AF50AC" w:rsidP="00AF50AC">
      <w:pPr>
        <w:spacing w:before="120" w:after="120" w:line="276" w:lineRule="auto"/>
        <w:ind w:left="709" w:hanging="709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/>
          <w:bCs/>
          <w:szCs w:val="24"/>
          <w:lang w:val="bg-BG"/>
        </w:rPr>
        <w:t xml:space="preserve">ЦО – </w:t>
      </w:r>
      <w:r w:rsidRPr="00AF50AC">
        <w:rPr>
          <w:rFonts w:eastAsia="MS ??"/>
          <w:bCs/>
          <w:szCs w:val="24"/>
          <w:lang w:val="bg-BG"/>
        </w:rPr>
        <w:t>Оценка на Ценовото предложение за изпълнение на поръчката;</w:t>
      </w:r>
    </w:p>
    <w:p w:rsidR="00AF50AC" w:rsidRPr="00AF50AC" w:rsidRDefault="00AF50AC" w:rsidP="00AF50AC">
      <w:pPr>
        <w:spacing w:before="120" w:after="120" w:line="276" w:lineRule="auto"/>
        <w:rPr>
          <w:rFonts w:eastAsia="MS ??"/>
          <w:bCs/>
          <w:szCs w:val="24"/>
          <w:lang w:val="bg-BG"/>
        </w:rPr>
      </w:pPr>
      <w:r w:rsidRPr="00AF50AC">
        <w:rPr>
          <w:b/>
          <w:szCs w:val="24"/>
          <w:lang w:val="bg-BG"/>
        </w:rPr>
        <w:t xml:space="preserve">ТО – </w:t>
      </w:r>
      <w:r w:rsidRPr="00AF50AC">
        <w:rPr>
          <w:rFonts w:eastAsia="MS ??"/>
          <w:bCs/>
          <w:szCs w:val="24"/>
          <w:lang w:val="bg-BG"/>
        </w:rPr>
        <w:t>Оценка на Техническо предложение за изпълнение на поръчката.</w:t>
      </w:r>
    </w:p>
    <w:p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</w:p>
    <w:p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*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умножение.</w:t>
      </w:r>
    </w:p>
    <w:p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/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деление.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</w:p>
    <w:p w:rsidR="00AF50AC" w:rsidRPr="00AF50AC" w:rsidRDefault="00AF50AC" w:rsidP="00AF50AC">
      <w:pPr>
        <w:pStyle w:val="Heading3"/>
        <w:numPr>
          <w:ilvl w:val="0"/>
          <w:numId w:val="25"/>
        </w:numPr>
        <w:autoSpaceDE w:val="0"/>
        <w:autoSpaceDN w:val="0"/>
        <w:adjustRightInd w:val="0"/>
        <w:spacing w:before="120" w:after="120" w:line="276" w:lineRule="auto"/>
        <w:ind w:left="284" w:hanging="284"/>
        <w:jc w:val="both"/>
      </w:pPr>
      <w:r w:rsidRPr="00AF50AC">
        <w:lastRenderedPageBreak/>
        <w:t>Оценка на Ценовото предложение за изпълнение на поръчката - ЦО</w:t>
      </w:r>
    </w:p>
    <w:p w:rsidR="00AF50AC" w:rsidRPr="00AF50AC" w:rsidRDefault="00AF50AC" w:rsidP="00AF50AC">
      <w:pPr>
        <w:rPr>
          <w:rFonts w:eastAsia="MS ??"/>
          <w:lang w:val="bg-BG"/>
        </w:rPr>
      </w:pP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Максимален брой точки по показателя – 100 точки. Относителна тежест на показателя в комплексната оценка - 40 %.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Ценовата оценка на всеки участник се определя по формулата: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/>
          <w:bCs/>
          <w:szCs w:val="24"/>
          <w:lang w:val="bg-BG"/>
        </w:rPr>
      </w:pPr>
      <w:r w:rsidRPr="00AF50AC">
        <w:rPr>
          <w:rFonts w:eastAsia="MS ??"/>
          <w:b/>
          <w:bCs/>
          <w:szCs w:val="24"/>
          <w:lang w:val="bg-BG"/>
        </w:rPr>
        <w:t>ЦО = 100 *(</w:t>
      </w:r>
      <w:proofErr w:type="spellStart"/>
      <w:r w:rsidRPr="00AF50AC">
        <w:rPr>
          <w:rFonts w:eastAsia="MS ??"/>
          <w:b/>
          <w:bCs/>
          <w:szCs w:val="24"/>
          <w:lang w:val="bg-BG"/>
        </w:rPr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мин</w:t>
      </w:r>
      <w:proofErr w:type="spellEnd"/>
      <w:r w:rsidRPr="00AF50AC">
        <w:rPr>
          <w:rFonts w:eastAsia="MS ??"/>
          <w:b/>
          <w:bCs/>
          <w:szCs w:val="24"/>
          <w:lang w:val="bg-BG"/>
        </w:rPr>
        <w:t xml:space="preserve"> /</w:t>
      </w:r>
      <w:proofErr w:type="spellStart"/>
      <w:r w:rsidRPr="00AF50AC">
        <w:rPr>
          <w:rFonts w:eastAsia="MS ??"/>
          <w:b/>
          <w:bCs/>
          <w:szCs w:val="24"/>
          <w:lang w:val="bg-BG"/>
        </w:rPr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n</w:t>
      </w:r>
      <w:proofErr w:type="spellEnd"/>
      <w:r w:rsidRPr="00AF50AC">
        <w:rPr>
          <w:rFonts w:eastAsia="MS ??"/>
          <w:b/>
          <w:bCs/>
          <w:szCs w:val="24"/>
          <w:lang w:val="bg-BG"/>
        </w:rPr>
        <w:t>), където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/>
          <w:bCs/>
          <w:szCs w:val="24"/>
          <w:lang w:val="bg-BG"/>
        </w:rPr>
      </w:pP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Cs/>
          <w:szCs w:val="24"/>
          <w:lang w:val="bg-BG"/>
        </w:rPr>
      </w:pPr>
      <w:proofErr w:type="spellStart"/>
      <w:r w:rsidRPr="00AF50AC">
        <w:rPr>
          <w:rFonts w:eastAsia="MS ??"/>
          <w:b/>
          <w:bCs/>
          <w:szCs w:val="24"/>
          <w:lang w:val="bg-BG"/>
        </w:rPr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мин</w:t>
      </w:r>
      <w:proofErr w:type="spellEnd"/>
      <w:r w:rsidRPr="00AF50AC">
        <w:rPr>
          <w:rFonts w:eastAsia="MS ??"/>
          <w:bCs/>
          <w:szCs w:val="24"/>
          <w:lang w:val="bg-BG"/>
        </w:rPr>
        <w:t xml:space="preserve"> е най-ниската предложена цена в лева без ДДС от участник в процедурата за изпълнение на поръчката;</w:t>
      </w:r>
    </w:p>
    <w:p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Cs/>
          <w:szCs w:val="24"/>
          <w:lang w:val="bg-BG"/>
        </w:rPr>
      </w:pPr>
      <w:proofErr w:type="spellStart"/>
      <w:r w:rsidRPr="00AF50AC">
        <w:rPr>
          <w:rFonts w:eastAsia="MS ??"/>
          <w:b/>
          <w:bCs/>
          <w:szCs w:val="24"/>
          <w:lang w:val="bg-BG"/>
        </w:rPr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n</w:t>
      </w:r>
      <w:proofErr w:type="spellEnd"/>
      <w:r w:rsidRPr="00AF50AC">
        <w:rPr>
          <w:rFonts w:eastAsia="MS ??"/>
          <w:bCs/>
          <w:szCs w:val="24"/>
          <w:lang w:val="bg-BG"/>
        </w:rPr>
        <w:t xml:space="preserve"> е цената, предложена в лева без ДДС от </w:t>
      </w:r>
      <w:proofErr w:type="spellStart"/>
      <w:r w:rsidRPr="00AF50AC">
        <w:rPr>
          <w:rFonts w:eastAsia="MS ??"/>
          <w:bCs/>
          <w:szCs w:val="24"/>
          <w:lang w:val="bg-BG"/>
        </w:rPr>
        <w:t>от</w:t>
      </w:r>
      <w:proofErr w:type="spellEnd"/>
      <w:r w:rsidRPr="00AF50AC">
        <w:rPr>
          <w:rFonts w:eastAsia="MS ??"/>
          <w:bCs/>
          <w:szCs w:val="24"/>
          <w:lang w:val="bg-BG"/>
        </w:rPr>
        <w:t xml:space="preserve"> n-тия участник в процедурата за изпълнение на поръчката;</w:t>
      </w:r>
    </w:p>
    <w:p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ЦО се закръглява до втория знак след десетичната запетая.</w:t>
      </w:r>
    </w:p>
    <w:p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</w:p>
    <w:p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*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умножение.</w:t>
      </w:r>
    </w:p>
    <w:p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/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деление.</w:t>
      </w:r>
    </w:p>
    <w:p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 w:firstLine="646"/>
        <w:jc w:val="both"/>
        <w:rPr>
          <w:szCs w:val="24"/>
          <w:lang w:val="bg-BG"/>
        </w:rPr>
      </w:pPr>
    </w:p>
    <w:p w:rsidR="00AF50AC" w:rsidRPr="00AF50AC" w:rsidRDefault="00AF50AC" w:rsidP="00AF50AC">
      <w:pPr>
        <w:pStyle w:val="Heading3"/>
        <w:numPr>
          <w:ilvl w:val="0"/>
          <w:numId w:val="25"/>
        </w:numPr>
      </w:pPr>
      <w:r w:rsidRPr="00AF50AC">
        <w:t>Техническа оценка  на офертата на участника - ТО</w:t>
      </w:r>
    </w:p>
    <w:p w:rsidR="00AF50AC" w:rsidRPr="00AF50AC" w:rsidRDefault="00AF50AC" w:rsidP="00AF50AC">
      <w:pPr>
        <w:pStyle w:val="ListParagraph"/>
        <w:autoSpaceDE w:val="0"/>
        <w:autoSpaceDN w:val="0"/>
        <w:adjustRightInd w:val="0"/>
        <w:spacing w:line="360" w:lineRule="auto"/>
        <w:ind w:left="0"/>
        <w:jc w:val="both"/>
        <w:rPr>
          <w:rFonts w:eastAsia="MS ??"/>
          <w:bCs/>
          <w:szCs w:val="24"/>
          <w:lang w:val="bg-BG"/>
        </w:rPr>
      </w:pPr>
    </w:p>
    <w:p w:rsidR="00AF50AC" w:rsidRPr="00AF50AC" w:rsidRDefault="00AF50AC" w:rsidP="00AF50AC">
      <w:pPr>
        <w:pStyle w:val="ListParagraph"/>
        <w:autoSpaceDE w:val="0"/>
        <w:autoSpaceDN w:val="0"/>
        <w:adjustRightInd w:val="0"/>
        <w:spacing w:line="360" w:lineRule="auto"/>
        <w:ind w:left="0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Максимален брой точки по показателя – 100 точки. Относителна тежест на показателя в комплексната оценка 60 %. </w:t>
      </w:r>
    </w:p>
    <w:p w:rsidR="00AF50AC" w:rsidRPr="00AF50AC" w:rsidRDefault="00AF50AC" w:rsidP="00AF50AC">
      <w:pPr>
        <w:pStyle w:val="ListParagraph"/>
        <w:autoSpaceDE w:val="0"/>
        <w:autoSpaceDN w:val="0"/>
        <w:adjustRightInd w:val="0"/>
        <w:spacing w:line="360" w:lineRule="auto"/>
        <w:ind w:left="0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Комисията оценява участниците  по посочения в таблицата по-долу показател в зависимост от Техническото предложение на участника .</w:t>
      </w:r>
    </w:p>
    <w:tbl>
      <w:tblPr>
        <w:tblStyle w:val="TableGrid"/>
        <w:tblW w:w="10206" w:type="dxa"/>
        <w:tblInd w:w="421" w:type="dxa"/>
        <w:tblLook w:val="04A0" w:firstRow="1" w:lastRow="0" w:firstColumn="1" w:lastColumn="0" w:noHBand="0" w:noVBand="1"/>
      </w:tblPr>
      <w:tblGrid>
        <w:gridCol w:w="8359"/>
        <w:gridCol w:w="1847"/>
      </w:tblGrid>
      <w:tr w:rsidR="00AF50AC" w:rsidRPr="00AF50AC" w:rsidTr="00ED4408">
        <w:trPr>
          <w:tblHeader/>
        </w:trPr>
        <w:tc>
          <w:tcPr>
            <w:tcW w:w="8359" w:type="dxa"/>
            <w:shd w:val="clear" w:color="auto" w:fill="F2F2F2" w:themeFill="background1" w:themeFillShade="F2"/>
          </w:tcPr>
          <w:p w:rsidR="00AF50AC" w:rsidRPr="00AF50AC" w:rsidRDefault="00AF50AC" w:rsidP="00C57C52">
            <w:pPr>
              <w:jc w:val="center"/>
              <w:rPr>
                <w:b/>
                <w:szCs w:val="24"/>
                <w:lang w:val="bg-BG"/>
              </w:rPr>
            </w:pPr>
            <w:r w:rsidRPr="00AF50AC">
              <w:rPr>
                <w:szCs w:val="24"/>
                <w:lang w:val="bg-BG"/>
              </w:rPr>
              <w:br w:type="page"/>
            </w:r>
            <w:r w:rsidRPr="00AF50AC">
              <w:rPr>
                <w:b/>
                <w:szCs w:val="24"/>
                <w:lang w:val="bg-BG"/>
              </w:rPr>
              <w:t>Показател</w:t>
            </w:r>
          </w:p>
        </w:tc>
        <w:tc>
          <w:tcPr>
            <w:tcW w:w="1847" w:type="dxa"/>
            <w:shd w:val="clear" w:color="auto" w:fill="F2F2F2" w:themeFill="background1" w:themeFillShade="F2"/>
          </w:tcPr>
          <w:p w:rsidR="00AF50AC" w:rsidRPr="00AF50AC" w:rsidRDefault="00AF50AC" w:rsidP="00C57C52">
            <w:pPr>
              <w:jc w:val="center"/>
              <w:rPr>
                <w:b/>
                <w:szCs w:val="24"/>
                <w:lang w:val="bg-BG"/>
              </w:rPr>
            </w:pPr>
            <w:r w:rsidRPr="00AF50AC">
              <w:rPr>
                <w:b/>
                <w:szCs w:val="24"/>
                <w:lang w:val="bg-BG"/>
              </w:rPr>
              <w:t>Брой точки</w:t>
            </w:r>
          </w:p>
        </w:tc>
      </w:tr>
      <w:tr w:rsidR="00AF50AC" w:rsidRPr="00AF50AC" w:rsidTr="00ED4408">
        <w:tc>
          <w:tcPr>
            <w:tcW w:w="8359" w:type="dxa"/>
            <w:shd w:val="clear" w:color="auto" w:fill="E2EFD9" w:themeFill="accent6" w:themeFillTint="33"/>
          </w:tcPr>
          <w:p w:rsidR="00AF50AC" w:rsidRPr="00AF50AC" w:rsidRDefault="00AF50AC" w:rsidP="00C57C52">
            <w:pPr>
              <w:rPr>
                <w:b/>
                <w:i/>
                <w:szCs w:val="24"/>
                <w:lang w:val="bg-BG"/>
              </w:rPr>
            </w:pPr>
            <w:r w:rsidRPr="00AF50AC">
              <w:rPr>
                <w:b/>
                <w:i/>
                <w:szCs w:val="24"/>
                <w:lang w:val="bg-BG"/>
              </w:rPr>
              <w:t>Методология, подход и техническо решение за изпълнение на поръчката</w:t>
            </w:r>
          </w:p>
        </w:tc>
        <w:tc>
          <w:tcPr>
            <w:tcW w:w="1847" w:type="dxa"/>
            <w:shd w:val="clear" w:color="auto" w:fill="E2EFD9" w:themeFill="accent6" w:themeFillTint="33"/>
          </w:tcPr>
          <w:p w:rsidR="00AF50AC" w:rsidRPr="00AF50AC" w:rsidRDefault="00AF50AC" w:rsidP="00C57C52">
            <w:pPr>
              <w:rPr>
                <w:b/>
                <w:i/>
                <w:szCs w:val="24"/>
                <w:lang w:val="bg-BG"/>
              </w:rPr>
            </w:pPr>
            <w:r w:rsidRPr="00AF50AC">
              <w:rPr>
                <w:b/>
                <w:i/>
                <w:szCs w:val="24"/>
                <w:lang w:val="bg-BG"/>
              </w:rPr>
              <w:t>Максимален брой точки: 100</w:t>
            </w:r>
          </w:p>
        </w:tc>
      </w:tr>
      <w:tr w:rsidR="00AF50AC" w:rsidRPr="00AF50AC" w:rsidTr="00ED4408">
        <w:tc>
          <w:tcPr>
            <w:tcW w:w="8359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В допълнение към предложението на участника, което отговаря на  основните изисквания, заложени в документацията за участие, е налице всяко от следните обстоятелства: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Представен е график за изпълнение на </w:t>
            </w:r>
            <w:r w:rsidR="00E178E6"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 w:rsidR="00755603"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 w:rsidR="0076790E"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>за частично или цялостно неизпълнение на поръчката (възможност/вероятност от настъпване, очакван ефект, последици от настъпване на риска (влияние));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Предложени са </w:t>
            </w:r>
            <w:r w:rsidR="00755603">
              <w:rPr>
                <w:rFonts w:eastAsia="MS ??"/>
                <w:bCs/>
                <w:sz w:val="22"/>
                <w:lang w:val="bg-BG"/>
              </w:rPr>
              <w:t>адекватни</w:t>
            </w:r>
            <w:r w:rsidR="00B45CCE"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:rsidR="00AF50AC" w:rsidRPr="00AF50AC" w:rsidRDefault="00782096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t>В</w:t>
            </w:r>
            <w:r w:rsidR="00E178E6">
              <w:rPr>
                <w:rFonts w:eastAsia="MS ??"/>
                <w:bCs/>
                <w:sz w:val="22"/>
                <w:lang w:val="bg-BG"/>
              </w:rPr>
              <w:t xml:space="preserve"> п</w:t>
            </w:r>
            <w:r w:rsidR="00AF50AC" w:rsidRPr="00AF50AC">
              <w:rPr>
                <w:rFonts w:eastAsia="MS ??"/>
                <w:bCs/>
                <w:sz w:val="22"/>
                <w:lang w:val="bg-BG"/>
              </w:rPr>
              <w:t>осочената от участника методология за изпълнение на аналитичната дейност е дефинирал нейния обхват, като са описани дейностите, които изпълнителят ще извърши за постигане на очакваните резултати от всички дейности по анализ, посочени от възложителя.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 w:rsidR="00755603"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 w:rsidR="00755603"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 w:rsidR="00755603"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 xml:space="preserve">Участникът е представил графични прототипи на екранни форми на потребителския интерфейс на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 w:rsidR="00755603"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AF50AC" w:rsidRPr="00015A62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="00755603"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 w:rsidR="00755603"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755603" w:rsidRPr="003D6C42" w:rsidRDefault="00015A62" w:rsidP="00755603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i/>
                <w:sz w:val="22"/>
                <w:lang w:val="bg-BG"/>
              </w:rPr>
            </w:pPr>
            <w:r w:rsidRPr="00015A62">
              <w:rPr>
                <w:rFonts w:eastAsia="MS ??"/>
                <w:b/>
                <w:bCs/>
                <w:i/>
                <w:sz w:val="22"/>
                <w:lang w:val="bg-BG"/>
              </w:rPr>
              <w:t xml:space="preserve">Забележка: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100</w:t>
            </w:r>
          </w:p>
        </w:tc>
      </w:tr>
      <w:tr w:rsidR="00AF50AC" w:rsidRPr="00AF50AC" w:rsidTr="00ED4408">
        <w:tc>
          <w:tcPr>
            <w:tcW w:w="8359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В допълнение към предложението на участника, което отговаря на  основните изисквания, заложени в документацията за участие, са налице най-малко 7 (седем) от следните обстоятелства: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Представен е график за изпълнение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>за частично или цялостно неизпълнение на поръчката (възможност/вероятност от настъпване, очакван ефект, последици от настъпване на риска (влияние));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Предложени са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адекватни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t>В п</w:t>
            </w:r>
            <w:r w:rsidRPr="00AF50AC">
              <w:rPr>
                <w:rFonts w:eastAsia="MS ??"/>
                <w:bCs/>
                <w:sz w:val="22"/>
                <w:lang w:val="bg-BG"/>
              </w:rPr>
              <w:t>осочената от участника методология за изпълнение на аналитичната дейност е дефинирал нейния обхват, като са описани дейностите, които изпълнителят ще извърши за постигане на очакваните резултати от всички дейности по анализ, посочени от възложителя.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представил графични прототипи на екранни форми на потребителския интерфейс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3D6C42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AF50AC" w:rsidRPr="00AF50AC" w:rsidRDefault="00015A62" w:rsidP="00015A62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404990">
              <w:rPr>
                <w:rFonts w:eastAsia="MS ??"/>
                <w:b/>
                <w:bCs/>
                <w:i/>
                <w:sz w:val="22"/>
                <w:lang w:val="bg-BG"/>
              </w:rPr>
              <w:t>Забележка</w:t>
            </w:r>
            <w:r w:rsidRPr="00404990">
              <w:rPr>
                <w:rFonts w:eastAsia="MS ??"/>
                <w:bCs/>
                <w:i/>
                <w:sz w:val="22"/>
                <w:lang w:val="bg-BG"/>
              </w:rPr>
              <w:t xml:space="preserve">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60</w:t>
            </w:r>
          </w:p>
        </w:tc>
      </w:tr>
      <w:tr w:rsidR="00AF50AC" w:rsidRPr="00AF50AC" w:rsidTr="00ED4408">
        <w:tc>
          <w:tcPr>
            <w:tcW w:w="8359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В допълнение към предложението на участника, което отговаря на  основните изисквания, заложени в документацията за участие, са налице най-малко 5 (пет) от следните обстоятелства: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Представен е график за изпълнение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за частично или цялостно неизпълнение на </w:t>
            </w: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поръчката (възможност/вероятност от настъпване, очакван ефект, последици от настъпване на риска (влияние));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Предложени са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адекватни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t>В п</w:t>
            </w:r>
            <w:r w:rsidRPr="00AF50AC">
              <w:rPr>
                <w:rFonts w:eastAsia="MS ??"/>
                <w:bCs/>
                <w:sz w:val="22"/>
                <w:lang w:val="bg-BG"/>
              </w:rPr>
              <w:t>осочената от участника методология за изпълнение на аналитичната дейност е дефинирал нейния обхват, като са описани дейностите, които изпълнителят ще извърши за постигане на очакваните резултати от всички дейности по анализ, посочени от възложителя.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представил графични прототипи на екранни форми на потребителския интерфейс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3D6C42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AF50AC" w:rsidRPr="00AF50AC" w:rsidRDefault="00015A62" w:rsidP="00015A62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404990">
              <w:rPr>
                <w:rFonts w:eastAsia="MS ??"/>
                <w:b/>
                <w:bCs/>
                <w:i/>
                <w:sz w:val="22"/>
                <w:lang w:val="bg-BG"/>
              </w:rPr>
              <w:t>Забележка</w:t>
            </w:r>
            <w:r w:rsidRPr="00404990">
              <w:rPr>
                <w:rFonts w:eastAsia="MS ??"/>
                <w:bCs/>
                <w:i/>
                <w:sz w:val="22"/>
                <w:lang w:val="bg-BG"/>
              </w:rPr>
              <w:t xml:space="preserve">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40</w:t>
            </w:r>
          </w:p>
        </w:tc>
      </w:tr>
      <w:tr w:rsidR="00AF50AC" w:rsidRPr="00AF50AC" w:rsidTr="00ED4408">
        <w:tc>
          <w:tcPr>
            <w:tcW w:w="8359" w:type="dxa"/>
          </w:tcPr>
          <w:p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В допълнение към предложението на участника, което отговаря на  основните изисквания, заложени в документацията за участие, са налице най-малко 3 (три) от следните обстоятелства: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 xml:space="preserve">Представен е график за изпълнение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>за частично или цялостно неизпълнение на поръчката (възможност/вероятност от настъпване, очакван ефект, последици от настъпване на риска (влияние));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Предложени са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адекватни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t>В п</w:t>
            </w:r>
            <w:r w:rsidRPr="00AF50AC">
              <w:rPr>
                <w:rFonts w:eastAsia="MS ??"/>
                <w:bCs/>
                <w:sz w:val="22"/>
                <w:lang w:val="bg-BG"/>
              </w:rPr>
              <w:t>осочената от участника методология за изпълнение на аналитичната дейност е дефинирал нейния обхват, като са описани дейностите, които изпълнителят ще извърши за постигане на очакваните резултати от всички дейности по анализ, посочени от възложителя.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представил графични прототипи на екранни форми на потребителския интерфейс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:rsidR="003D6C42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:rsidR="00AF50AC" w:rsidRPr="00015A62" w:rsidRDefault="00015A62" w:rsidP="00015A62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404990">
              <w:rPr>
                <w:rFonts w:eastAsia="MS ??"/>
                <w:b/>
                <w:bCs/>
                <w:i/>
                <w:sz w:val="22"/>
                <w:lang w:val="bg-BG"/>
              </w:rPr>
              <w:lastRenderedPageBreak/>
              <w:t>Забележка</w:t>
            </w:r>
            <w:r w:rsidRPr="00404990">
              <w:rPr>
                <w:rFonts w:eastAsia="MS ??"/>
                <w:bCs/>
                <w:i/>
                <w:sz w:val="22"/>
                <w:lang w:val="bg-BG"/>
              </w:rPr>
              <w:t xml:space="preserve">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20</w:t>
            </w:r>
          </w:p>
        </w:tc>
      </w:tr>
    </w:tbl>
    <w:p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</w:p>
    <w:sectPr w:rsidR="00AF50AC" w:rsidRPr="00AF50AC" w:rsidSect="00ED4408">
      <w:headerReference w:type="default" r:id="rId8"/>
      <w:footerReference w:type="default" r:id="rId9"/>
      <w:pgSz w:w="12240" w:h="15840"/>
      <w:pgMar w:top="851" w:right="1183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9C0" w:rsidRDefault="005209C0" w:rsidP="00290C78">
      <w:pPr>
        <w:spacing w:after="0" w:line="240" w:lineRule="auto"/>
      </w:pPr>
      <w:r>
        <w:separator/>
      </w:r>
    </w:p>
  </w:endnote>
  <w:endnote w:type="continuationSeparator" w:id="0">
    <w:p w:rsidR="005209C0" w:rsidRDefault="005209C0" w:rsidP="00290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228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D4408" w:rsidRDefault="00ED440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7A45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227A45" w:rsidRPr="00227A45" w:rsidRDefault="00227A45" w:rsidP="00227A45">
    <w:pPr>
      <w:tabs>
        <w:tab w:val="center" w:pos="4153"/>
        <w:tab w:val="right" w:pos="8306"/>
      </w:tabs>
      <w:spacing w:after="0" w:line="240" w:lineRule="auto"/>
      <w:jc w:val="center"/>
      <w:rPr>
        <w:rFonts w:eastAsia="Times New Roman" w:cs="Times New Roman"/>
        <w:sz w:val="22"/>
        <w:lang w:val="en-GB"/>
      </w:rPr>
    </w:pPr>
    <w:r w:rsidRPr="00227A45">
      <w:rPr>
        <w:rFonts w:eastAsia="Times New Roman" w:cs="Times New Roman"/>
        <w:sz w:val="22"/>
        <w:lang w:val="en-GB"/>
      </w:rPr>
      <w:t>Документация за участие в обществена поръчка с предмет:</w:t>
    </w:r>
  </w:p>
  <w:p w:rsidR="00227A45" w:rsidRPr="00227A45" w:rsidRDefault="00227A45" w:rsidP="00227A45">
    <w:pPr>
      <w:tabs>
        <w:tab w:val="center" w:pos="4153"/>
        <w:tab w:val="right" w:pos="8306"/>
      </w:tabs>
      <w:spacing w:after="0" w:line="240" w:lineRule="auto"/>
      <w:jc w:val="center"/>
      <w:rPr>
        <w:rFonts w:eastAsia="Times New Roman" w:cs="Times New Roman"/>
        <w:sz w:val="22"/>
        <w:lang w:val="bg-BG" w:eastAsia="bg-BG"/>
      </w:rPr>
    </w:pPr>
    <w:r w:rsidRPr="00227A45">
      <w:rPr>
        <w:rFonts w:eastAsia="Times New Roman" w:cs="Times New Roman"/>
        <w:sz w:val="22"/>
      </w:rPr>
      <w:t>“</w:t>
    </w:r>
    <w:r w:rsidRPr="00227A45">
      <w:rPr>
        <w:rFonts w:eastAsia="Times New Roman" w:cs="Times New Roman"/>
        <w:sz w:val="22"/>
        <w:lang w:val="en-GB"/>
      </w:rPr>
      <w:t>Разработване на прототип на система за електронни форми за заявяване на електронни административни услуги и интеграцията му с хоризонталните системи на електронното управление</w:t>
    </w:r>
    <w:r w:rsidRPr="00227A45">
      <w:rPr>
        <w:rFonts w:eastAsia="Times New Roman" w:cs="Times New Roman"/>
        <w:sz w:val="22"/>
      </w:rPr>
      <w:t xml:space="preserve">” </w:t>
    </w:r>
    <w:r w:rsidRPr="00227A45">
      <w:rPr>
        <w:rFonts w:eastAsia="Times New Roman" w:cs="Times New Roman"/>
        <w:sz w:val="22"/>
        <w:lang w:val="en-GB"/>
      </w:rPr>
      <w:t xml:space="preserve">Услугата се възлага по проект, който се изпълнява по процедура </w:t>
    </w:r>
    <w:r w:rsidRPr="00227A45">
      <w:rPr>
        <w:rFonts w:eastAsia="Times New Roman" w:cs="Times New Roman"/>
        <w:sz w:val="22"/>
        <w:lang w:val="bg-BG" w:eastAsia="bg-BG"/>
      </w:rPr>
      <w:t xml:space="preserve">BG05SFOP001-1.004 чрез </w:t>
    </w:r>
    <w:r w:rsidRPr="00227A45">
      <w:rPr>
        <w:rFonts w:eastAsia="Times New Roman" w:cs="Times New Roman"/>
        <w:sz w:val="22"/>
        <w:lang w:val="bg-BG"/>
      </w:rPr>
      <w:t>директно предоставяне на безвъзмездна финансова помощ с наименование „Надграждане на хоризонталните и централни системи на електронното управление“, финансирана по оперативна програма „Добро управление“ 2014-2020 г.</w:t>
    </w:r>
  </w:p>
  <w:p w:rsidR="00ED4408" w:rsidRDefault="00ED44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9C0" w:rsidRDefault="005209C0" w:rsidP="00290C78">
      <w:pPr>
        <w:spacing w:after="0" w:line="240" w:lineRule="auto"/>
      </w:pPr>
      <w:r>
        <w:separator/>
      </w:r>
    </w:p>
  </w:footnote>
  <w:footnote w:type="continuationSeparator" w:id="0">
    <w:p w:rsidR="005209C0" w:rsidRDefault="005209C0" w:rsidP="00290C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0B30" w:rsidRPr="00CA0B30" w:rsidRDefault="00CA0B30" w:rsidP="00CA0B30">
    <w:pPr>
      <w:pBdr>
        <w:bottom w:val="single" w:sz="4" w:space="1" w:color="auto"/>
      </w:pBdr>
      <w:tabs>
        <w:tab w:val="center" w:pos="4320"/>
        <w:tab w:val="right" w:pos="8640"/>
      </w:tabs>
      <w:spacing w:after="0" w:line="240" w:lineRule="auto"/>
      <w:rPr>
        <w:rFonts w:ascii="Arial" w:eastAsia="Times New Roman" w:hAnsi="Arial" w:cs="Times New Roman"/>
        <w:sz w:val="20"/>
        <w:szCs w:val="20"/>
        <w:lang w:val="bg-BG" w:eastAsia="x-none"/>
      </w:rPr>
    </w:pPr>
    <w:r w:rsidRPr="00CA0B30">
      <w:rPr>
        <w:rFonts w:ascii="Arial" w:eastAsia="Times New Roman" w:hAnsi="Arial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4343400</wp:posOffset>
          </wp:positionH>
          <wp:positionV relativeFrom="paragraph">
            <wp:posOffset>-635</wp:posOffset>
          </wp:positionV>
          <wp:extent cx="1619250" cy="56197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167"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A0B30">
      <w:rPr>
        <w:rFonts w:ascii="Arial" w:eastAsia="Times New Roman" w:hAnsi="Arial" w:cs="Times New Roman"/>
        <w:noProof/>
        <w:sz w:val="20"/>
        <w:szCs w:val="20"/>
      </w:rPr>
      <w:drawing>
        <wp:inline distT="0" distB="0" distL="0" distR="0">
          <wp:extent cx="1933575" cy="6096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A0B30">
      <w:rPr>
        <w:rFonts w:ascii="Arial" w:eastAsia="Times New Roman" w:hAnsi="Arial" w:cs="Times New Roman"/>
        <w:sz w:val="20"/>
        <w:szCs w:val="20"/>
        <w:lang w:val="bg-BG" w:eastAsia="x-none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20A"/>
    <w:multiLevelType w:val="hybridMultilevel"/>
    <w:tmpl w:val="47C0DC8A"/>
    <w:lvl w:ilvl="0" w:tplc="1AA8EE1C">
      <w:start w:val="1"/>
      <w:numFmt w:val="bullet"/>
      <w:lvlText w:val="•"/>
      <w:lvlJc w:val="left"/>
    </w:lvl>
    <w:lvl w:ilvl="1" w:tplc="589A5D34">
      <w:numFmt w:val="decimal"/>
      <w:lvlText w:val=""/>
      <w:lvlJc w:val="left"/>
    </w:lvl>
    <w:lvl w:ilvl="2" w:tplc="EFCCF778">
      <w:numFmt w:val="decimal"/>
      <w:lvlText w:val=""/>
      <w:lvlJc w:val="left"/>
    </w:lvl>
    <w:lvl w:ilvl="3" w:tplc="3EDC12DA">
      <w:numFmt w:val="decimal"/>
      <w:lvlText w:val=""/>
      <w:lvlJc w:val="left"/>
    </w:lvl>
    <w:lvl w:ilvl="4" w:tplc="8CD44874">
      <w:numFmt w:val="decimal"/>
      <w:lvlText w:val=""/>
      <w:lvlJc w:val="left"/>
    </w:lvl>
    <w:lvl w:ilvl="5" w:tplc="E40406D4">
      <w:numFmt w:val="decimal"/>
      <w:lvlText w:val=""/>
      <w:lvlJc w:val="left"/>
    </w:lvl>
    <w:lvl w:ilvl="6" w:tplc="36523840">
      <w:numFmt w:val="decimal"/>
      <w:lvlText w:val=""/>
      <w:lvlJc w:val="left"/>
    </w:lvl>
    <w:lvl w:ilvl="7" w:tplc="659EE3D0">
      <w:numFmt w:val="decimal"/>
      <w:lvlText w:val=""/>
      <w:lvlJc w:val="left"/>
    </w:lvl>
    <w:lvl w:ilvl="8" w:tplc="3BB647AE">
      <w:numFmt w:val="decimal"/>
      <w:lvlText w:val=""/>
      <w:lvlJc w:val="left"/>
    </w:lvl>
  </w:abstractNum>
  <w:abstractNum w:abstractNumId="1">
    <w:nsid w:val="00006C0F"/>
    <w:multiLevelType w:val="hybridMultilevel"/>
    <w:tmpl w:val="2E8AED3C"/>
    <w:lvl w:ilvl="0" w:tplc="94F28C18">
      <w:start w:val="1"/>
      <w:numFmt w:val="bullet"/>
      <w:lvlText w:val="и"/>
      <w:lvlJc w:val="left"/>
    </w:lvl>
    <w:lvl w:ilvl="1" w:tplc="12A214CA">
      <w:start w:val="1"/>
      <w:numFmt w:val="bullet"/>
      <w:lvlText w:val="-"/>
      <w:lvlJc w:val="left"/>
    </w:lvl>
    <w:lvl w:ilvl="2" w:tplc="DE3AFB24">
      <w:numFmt w:val="decimal"/>
      <w:lvlText w:val=""/>
      <w:lvlJc w:val="left"/>
    </w:lvl>
    <w:lvl w:ilvl="3" w:tplc="27F65CA6">
      <w:numFmt w:val="decimal"/>
      <w:lvlText w:val=""/>
      <w:lvlJc w:val="left"/>
    </w:lvl>
    <w:lvl w:ilvl="4" w:tplc="AF64185A">
      <w:numFmt w:val="decimal"/>
      <w:lvlText w:val=""/>
      <w:lvlJc w:val="left"/>
    </w:lvl>
    <w:lvl w:ilvl="5" w:tplc="BE868B78">
      <w:numFmt w:val="decimal"/>
      <w:lvlText w:val=""/>
      <w:lvlJc w:val="left"/>
    </w:lvl>
    <w:lvl w:ilvl="6" w:tplc="0AE66EDE">
      <w:numFmt w:val="decimal"/>
      <w:lvlText w:val=""/>
      <w:lvlJc w:val="left"/>
    </w:lvl>
    <w:lvl w:ilvl="7" w:tplc="A5F8B606">
      <w:numFmt w:val="decimal"/>
      <w:lvlText w:val=""/>
      <w:lvlJc w:val="left"/>
    </w:lvl>
    <w:lvl w:ilvl="8" w:tplc="7304C7BA">
      <w:numFmt w:val="decimal"/>
      <w:lvlText w:val=""/>
      <w:lvlJc w:val="left"/>
    </w:lvl>
  </w:abstractNum>
  <w:abstractNum w:abstractNumId="2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3">
    <w:nsid w:val="09791AF5"/>
    <w:multiLevelType w:val="hybridMultilevel"/>
    <w:tmpl w:val="B37E7B4C"/>
    <w:lvl w:ilvl="0" w:tplc="80E2041C">
      <w:start w:val="1"/>
      <w:numFmt w:val="bullet"/>
      <w:lvlText w:val="-"/>
      <w:lvlJc w:val="left"/>
      <w:pPr>
        <w:ind w:left="720" w:hanging="360"/>
      </w:pPr>
      <w:rPr>
        <w:rFonts w:ascii="SimHei" w:eastAsia="SimHei" w:hAnsi="SimHe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C42B3"/>
    <w:multiLevelType w:val="hybridMultilevel"/>
    <w:tmpl w:val="2806C63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5D69F6"/>
    <w:multiLevelType w:val="hybridMultilevel"/>
    <w:tmpl w:val="C14E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28EB0BF4"/>
    <w:multiLevelType w:val="hybridMultilevel"/>
    <w:tmpl w:val="8FCE445E"/>
    <w:lvl w:ilvl="0" w:tplc="C2C8FB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64F44F7"/>
    <w:multiLevelType w:val="hybridMultilevel"/>
    <w:tmpl w:val="C6FAE92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12">
    <w:nsid w:val="3908250A"/>
    <w:multiLevelType w:val="hybridMultilevel"/>
    <w:tmpl w:val="6A441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871872"/>
    <w:multiLevelType w:val="hybridMultilevel"/>
    <w:tmpl w:val="31EEC53A"/>
    <w:lvl w:ilvl="0" w:tplc="AF480654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4">
    <w:nsid w:val="451D377D"/>
    <w:multiLevelType w:val="multilevel"/>
    <w:tmpl w:val="076C3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4A277191"/>
    <w:multiLevelType w:val="hybridMultilevel"/>
    <w:tmpl w:val="0F78B02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1A49B7"/>
    <w:multiLevelType w:val="hybridMultilevel"/>
    <w:tmpl w:val="4746BDE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7EB26AD"/>
    <w:multiLevelType w:val="hybridMultilevel"/>
    <w:tmpl w:val="F512678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4365D1"/>
    <w:multiLevelType w:val="hybridMultilevel"/>
    <w:tmpl w:val="5BAE8C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EC522D"/>
    <w:multiLevelType w:val="hybridMultilevel"/>
    <w:tmpl w:val="789EC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6009D0"/>
    <w:multiLevelType w:val="hybridMultilevel"/>
    <w:tmpl w:val="3A74D28E"/>
    <w:lvl w:ilvl="0" w:tplc="040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6863CA5"/>
    <w:multiLevelType w:val="hybridMultilevel"/>
    <w:tmpl w:val="6C6E2EE2"/>
    <w:lvl w:ilvl="0" w:tplc="9E384A00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4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2550BF"/>
    <w:multiLevelType w:val="hybridMultilevel"/>
    <w:tmpl w:val="E63E973E"/>
    <w:lvl w:ilvl="0" w:tplc="040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8"/>
  </w:num>
  <w:num w:numId="5">
    <w:abstractNumId w:val="13"/>
  </w:num>
  <w:num w:numId="6">
    <w:abstractNumId w:val="23"/>
  </w:num>
  <w:num w:numId="7">
    <w:abstractNumId w:val="0"/>
  </w:num>
  <w:num w:numId="8">
    <w:abstractNumId w:val="1"/>
  </w:num>
  <w:num w:numId="9">
    <w:abstractNumId w:val="16"/>
  </w:num>
  <w:num w:numId="10">
    <w:abstractNumId w:val="20"/>
  </w:num>
  <w:num w:numId="11">
    <w:abstractNumId w:val="9"/>
  </w:num>
  <w:num w:numId="12">
    <w:abstractNumId w:val="24"/>
  </w:num>
  <w:num w:numId="13">
    <w:abstractNumId w:val="19"/>
  </w:num>
  <w:num w:numId="14">
    <w:abstractNumId w:val="18"/>
  </w:num>
  <w:num w:numId="15">
    <w:abstractNumId w:val="22"/>
  </w:num>
  <w:num w:numId="16">
    <w:abstractNumId w:val="2"/>
  </w:num>
  <w:num w:numId="17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5"/>
  </w:num>
  <w:num w:numId="20">
    <w:abstractNumId w:val="17"/>
  </w:num>
  <w:num w:numId="21">
    <w:abstractNumId w:val="6"/>
  </w:num>
  <w:num w:numId="22">
    <w:abstractNumId w:val="3"/>
  </w:num>
  <w:num w:numId="23">
    <w:abstractNumId w:val="21"/>
  </w:num>
  <w:num w:numId="24">
    <w:abstractNumId w:val="25"/>
  </w:num>
  <w:num w:numId="25">
    <w:abstractNumId w:val="12"/>
  </w:num>
  <w:num w:numId="26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32"/>
    <w:rsid w:val="00015A62"/>
    <w:rsid w:val="0005318F"/>
    <w:rsid w:val="000715A9"/>
    <w:rsid w:val="000763D6"/>
    <w:rsid w:val="00090F25"/>
    <w:rsid w:val="000969A7"/>
    <w:rsid w:val="000D5367"/>
    <w:rsid w:val="000F5247"/>
    <w:rsid w:val="0015060A"/>
    <w:rsid w:val="001649E9"/>
    <w:rsid w:val="00173074"/>
    <w:rsid w:val="00182AAE"/>
    <w:rsid w:val="00191CDF"/>
    <w:rsid w:val="00194939"/>
    <w:rsid w:val="001E11E4"/>
    <w:rsid w:val="00221ABF"/>
    <w:rsid w:val="00227A45"/>
    <w:rsid w:val="00230FC2"/>
    <w:rsid w:val="0024616F"/>
    <w:rsid w:val="00282A96"/>
    <w:rsid w:val="00290C78"/>
    <w:rsid w:val="002C63A2"/>
    <w:rsid w:val="002D7FC6"/>
    <w:rsid w:val="003410C3"/>
    <w:rsid w:val="0038038B"/>
    <w:rsid w:val="003822D4"/>
    <w:rsid w:val="00387B2A"/>
    <w:rsid w:val="00395567"/>
    <w:rsid w:val="003A728C"/>
    <w:rsid w:val="003B5A3F"/>
    <w:rsid w:val="003D6C42"/>
    <w:rsid w:val="003F62B7"/>
    <w:rsid w:val="00410B9B"/>
    <w:rsid w:val="00440327"/>
    <w:rsid w:val="0044467C"/>
    <w:rsid w:val="0048311B"/>
    <w:rsid w:val="00497587"/>
    <w:rsid w:val="004B595A"/>
    <w:rsid w:val="004B5FE0"/>
    <w:rsid w:val="004C153C"/>
    <w:rsid w:val="00515D19"/>
    <w:rsid w:val="005209C0"/>
    <w:rsid w:val="00524B37"/>
    <w:rsid w:val="00530C3D"/>
    <w:rsid w:val="00545D00"/>
    <w:rsid w:val="00552E90"/>
    <w:rsid w:val="00596765"/>
    <w:rsid w:val="005A2C5D"/>
    <w:rsid w:val="005D7675"/>
    <w:rsid w:val="005F13D3"/>
    <w:rsid w:val="00604354"/>
    <w:rsid w:val="00607AE7"/>
    <w:rsid w:val="00630A28"/>
    <w:rsid w:val="006319B0"/>
    <w:rsid w:val="00663EBC"/>
    <w:rsid w:val="006818DD"/>
    <w:rsid w:val="00682E69"/>
    <w:rsid w:val="006B01ED"/>
    <w:rsid w:val="006B4610"/>
    <w:rsid w:val="006E3E15"/>
    <w:rsid w:val="006F0881"/>
    <w:rsid w:val="00717072"/>
    <w:rsid w:val="007305A1"/>
    <w:rsid w:val="00751B75"/>
    <w:rsid w:val="00755603"/>
    <w:rsid w:val="0076790E"/>
    <w:rsid w:val="00780C52"/>
    <w:rsid w:val="00781071"/>
    <w:rsid w:val="00782096"/>
    <w:rsid w:val="00791171"/>
    <w:rsid w:val="007C4544"/>
    <w:rsid w:val="007D5C5E"/>
    <w:rsid w:val="007F3A9F"/>
    <w:rsid w:val="007F6CD9"/>
    <w:rsid w:val="008166D1"/>
    <w:rsid w:val="008304D4"/>
    <w:rsid w:val="00834670"/>
    <w:rsid w:val="00835DEB"/>
    <w:rsid w:val="008403EF"/>
    <w:rsid w:val="0089461D"/>
    <w:rsid w:val="00897D8A"/>
    <w:rsid w:val="008A599F"/>
    <w:rsid w:val="008B275E"/>
    <w:rsid w:val="008B56FB"/>
    <w:rsid w:val="008E0F14"/>
    <w:rsid w:val="008F1D4C"/>
    <w:rsid w:val="00941B0D"/>
    <w:rsid w:val="009770FD"/>
    <w:rsid w:val="009930C4"/>
    <w:rsid w:val="009C0FCE"/>
    <w:rsid w:val="009D2601"/>
    <w:rsid w:val="009D2E20"/>
    <w:rsid w:val="009E14D5"/>
    <w:rsid w:val="00A04C76"/>
    <w:rsid w:val="00A108BD"/>
    <w:rsid w:val="00A26483"/>
    <w:rsid w:val="00A33D81"/>
    <w:rsid w:val="00A42D64"/>
    <w:rsid w:val="00A74510"/>
    <w:rsid w:val="00AA35C1"/>
    <w:rsid w:val="00AB5F2B"/>
    <w:rsid w:val="00AB7032"/>
    <w:rsid w:val="00AD6BDD"/>
    <w:rsid w:val="00AE44A8"/>
    <w:rsid w:val="00AF50AC"/>
    <w:rsid w:val="00B1465D"/>
    <w:rsid w:val="00B16A47"/>
    <w:rsid w:val="00B44088"/>
    <w:rsid w:val="00B45CCE"/>
    <w:rsid w:val="00B54039"/>
    <w:rsid w:val="00B67F58"/>
    <w:rsid w:val="00B76060"/>
    <w:rsid w:val="00B955CD"/>
    <w:rsid w:val="00BA362E"/>
    <w:rsid w:val="00BE3AEF"/>
    <w:rsid w:val="00BE672D"/>
    <w:rsid w:val="00C145BD"/>
    <w:rsid w:val="00C26408"/>
    <w:rsid w:val="00C608D0"/>
    <w:rsid w:val="00C6415B"/>
    <w:rsid w:val="00C65384"/>
    <w:rsid w:val="00C715A3"/>
    <w:rsid w:val="00C7402F"/>
    <w:rsid w:val="00C92225"/>
    <w:rsid w:val="00C962E7"/>
    <w:rsid w:val="00CA0B30"/>
    <w:rsid w:val="00CA23ED"/>
    <w:rsid w:val="00CE2CDD"/>
    <w:rsid w:val="00CE5958"/>
    <w:rsid w:val="00CE799C"/>
    <w:rsid w:val="00CF7777"/>
    <w:rsid w:val="00D3717B"/>
    <w:rsid w:val="00D44BC7"/>
    <w:rsid w:val="00D70728"/>
    <w:rsid w:val="00D72697"/>
    <w:rsid w:val="00DA2DE2"/>
    <w:rsid w:val="00DD5C1A"/>
    <w:rsid w:val="00DE302B"/>
    <w:rsid w:val="00E178E6"/>
    <w:rsid w:val="00E30BF1"/>
    <w:rsid w:val="00E421C8"/>
    <w:rsid w:val="00E43908"/>
    <w:rsid w:val="00E56815"/>
    <w:rsid w:val="00E717A9"/>
    <w:rsid w:val="00E91B0D"/>
    <w:rsid w:val="00E9296D"/>
    <w:rsid w:val="00E9759C"/>
    <w:rsid w:val="00EB146D"/>
    <w:rsid w:val="00ED4408"/>
    <w:rsid w:val="00F3742A"/>
    <w:rsid w:val="00F85634"/>
    <w:rsid w:val="00F90D87"/>
    <w:rsid w:val="00F930D0"/>
    <w:rsid w:val="00F96C3A"/>
    <w:rsid w:val="00FB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93D697-E2F2-4E09-A84E-6BD18C25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032"/>
  </w:style>
  <w:style w:type="paragraph" w:styleId="Heading3">
    <w:name w:val="heading 3"/>
    <w:basedOn w:val="Normal"/>
    <w:next w:val="Normal"/>
    <w:link w:val="Heading3Char"/>
    <w:qFormat/>
    <w:rsid w:val="00AF50AC"/>
    <w:pPr>
      <w:keepNext/>
      <w:spacing w:after="0" w:line="240" w:lineRule="auto"/>
      <w:outlineLvl w:val="2"/>
    </w:pPr>
    <w:rPr>
      <w:rFonts w:eastAsia="PMingLiU" w:cs="Times New Roman"/>
      <w:b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0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B44088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90C7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0C7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90C7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2A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608D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5681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m">
    <w:name w:val="m"/>
    <w:basedOn w:val="Normal"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91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1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1B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B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B0D"/>
    <w:rPr>
      <w:b/>
      <w:bCs/>
      <w:sz w:val="20"/>
      <w:szCs w:val="20"/>
    </w:rPr>
  </w:style>
  <w:style w:type="character" w:customStyle="1" w:styleId="ala2">
    <w:name w:val="al_a2"/>
    <w:rsid w:val="00CE799C"/>
    <w:rPr>
      <w:vanish w:val="0"/>
      <w:webHidden w:val="0"/>
      <w:specVanish w:val="0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rsid w:val="00F85634"/>
  </w:style>
  <w:style w:type="character" w:customStyle="1" w:styleId="Heading3Char">
    <w:name w:val="Heading 3 Char"/>
    <w:basedOn w:val="DefaultParagraphFont"/>
    <w:link w:val="Heading3"/>
    <w:rsid w:val="00AF50AC"/>
    <w:rPr>
      <w:rFonts w:eastAsia="PMingLiU" w:cs="Times New Roman"/>
      <w:b/>
      <w:szCs w:val="20"/>
      <w:lang w:val="bg-BG" w:eastAsia="bg-BG"/>
    </w:rPr>
  </w:style>
  <w:style w:type="paragraph" w:styleId="Header">
    <w:name w:val="header"/>
    <w:basedOn w:val="Normal"/>
    <w:link w:val="HeaderChar"/>
    <w:uiPriority w:val="99"/>
    <w:unhideWhenUsed/>
    <w:rsid w:val="00ED44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408"/>
  </w:style>
  <w:style w:type="paragraph" w:styleId="Footer">
    <w:name w:val="footer"/>
    <w:basedOn w:val="Normal"/>
    <w:link w:val="FooterChar"/>
    <w:uiPriority w:val="99"/>
    <w:unhideWhenUsed/>
    <w:rsid w:val="00ED44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4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4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4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92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8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6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97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84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329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1395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86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7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70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3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06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0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49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12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76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13734-E26B-4CD5-9B60-3AC0BC268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1882</Words>
  <Characters>10729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Yovka Tsatcheva</dc:creator>
  <cp:keywords/>
  <dc:description/>
  <cp:lastModifiedBy>Vasil S. Penov</cp:lastModifiedBy>
  <cp:revision>3</cp:revision>
  <cp:lastPrinted>2018-07-04T08:57:00Z</cp:lastPrinted>
  <dcterms:created xsi:type="dcterms:W3CDTF">2018-07-31T10:20:00Z</dcterms:created>
  <dcterms:modified xsi:type="dcterms:W3CDTF">2018-08-01T06:51:00Z</dcterms:modified>
</cp:coreProperties>
</file>